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76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32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32"/>
          <w:shd w:fill="FFFFFF" w:val="clear"/>
        </w:rPr>
        <w:t>ООО «Управляющая компания «Доверие»</w:t>
      </w:r>
    </w:p>
    <w:p>
      <w:pPr>
        <w:pStyle w:val="Normal"/>
        <w:widowControl w:val="false"/>
        <w:spacing w:lineRule="auto" w:line="276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32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32"/>
          <w:shd w:fill="FFFFFF" w:val="clear"/>
        </w:rPr>
        <w:t>Уважаемые граждане!</w:t>
      </w:r>
    </w:p>
    <w:p>
      <w:pPr>
        <w:pStyle w:val="Normal"/>
        <w:widowControl w:val="false"/>
        <w:spacing w:lineRule="auto" w:line="276" w:before="0" w:after="0"/>
        <w:ind w:left="0" w:right="0" w:firstLine="708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6"/>
          <w:szCs w:val="26"/>
          <w:shd w:fill="FFFFFF" w:val="clear"/>
        </w:rPr>
        <w:t xml:space="preserve">В связи с большой задолженностью жителей Вашего дома и несвоевременной оплатой счетов за жилищно-коммунальные услуги (содержание и текущий ремонт), будут приняты меры к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6"/>
          <w:szCs w:val="26"/>
          <w:shd w:fill="FFFFFF" w:val="clear"/>
        </w:rPr>
        <w:t>ЗЛОСТНЫМ НЕПЛАТЕЛЬЩИКАМ,</w:t>
      </w:r>
      <w:r>
        <w:rPr>
          <w:rFonts w:eastAsia="Times New Roman" w:cs="Times New Roman" w:ascii="Times New Roman" w:hAnsi="Times New Roman"/>
          <w:color w:val="00000A"/>
          <w:spacing w:val="0"/>
          <w:sz w:val="26"/>
          <w:szCs w:val="26"/>
          <w:shd w:fill="FFFFFF" w:val="clear"/>
        </w:rPr>
        <w:t xml:space="preserve"> а именно: -  приостановлена подача электроэнергии; - подготовка материалов для обращения в суд с целью принудительного взыскания за услуги и пени; -взыскания долгов путем удержания из заработной платы и иных источников доходов, ареста и последующей продажи имущества.</w:t>
      </w:r>
    </w:p>
    <w:p>
      <w:pPr>
        <w:pStyle w:val="Normal"/>
        <w:widowControl w:val="false"/>
        <w:spacing w:lineRule="auto" w:line="276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32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32"/>
          <w:shd w:fill="FFFFFF" w:val="clear"/>
        </w:rPr>
        <w:t>Долги указанных квартир не позволяют жителям дома жить комфортно и уютно!</w:t>
      </w:r>
    </w:p>
    <w:p>
      <w:pPr>
        <w:pStyle w:val="Normal"/>
        <w:widowControl w:val="false"/>
        <w:spacing w:lineRule="auto" w:line="276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  <w:shd w:fill="FFFFFF" w:val="clear"/>
        </w:rPr>
        <w:t xml:space="preserve">Задолженность по состоянию  на 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  <w:shd w:fill="FFFFFF" w:val="clear"/>
        </w:rPr>
        <w:t>03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  <w:shd w:fill="FFFFFF" w:val="clear"/>
        </w:rPr>
        <w:t>.0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  <w:shd w:fill="FFFFFF" w:val="clear"/>
        </w:rPr>
        <w:t>6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</w:rPr>
        <w:t>.2019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  <w:shd w:fill="FFFFFF" w:val="clear"/>
        </w:rPr>
        <w:t xml:space="preserve"> г.</w:t>
      </w:r>
    </w:p>
    <w:tbl>
      <w:tblPr>
        <w:tblW w:w="9495" w:type="dxa"/>
        <w:jc w:val="left"/>
        <w:tblInd w:w="102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1" w:type="dxa"/>
          <w:bottom w:w="55" w:type="dxa"/>
          <w:right w:w="55" w:type="dxa"/>
        </w:tblCellMar>
      </w:tblPr>
      <w:tblGrid>
        <w:gridCol w:w="1154"/>
        <w:gridCol w:w="2026"/>
        <w:gridCol w:w="1125"/>
        <w:gridCol w:w="2040"/>
        <w:gridCol w:w="1200"/>
        <w:gridCol w:w="1949"/>
      </w:tblGrid>
      <w:tr>
        <w:trPr/>
        <w:tc>
          <w:tcPr>
            <w:tcW w:w="9494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1" w:type="dxa"/>
            </w:tcMar>
          </w:tcPr>
          <w:p>
            <w:pPr>
              <w:pStyle w:val="Style16"/>
              <w:jc w:val="center"/>
              <w:rPr/>
            </w:pPr>
            <w:r>
              <w:rPr>
                <w:rFonts w:eastAsia="Calibri" w:cs="Calibri" w:ascii="Times New Roman" w:hAnsi="Times New Roman"/>
                <w:b/>
                <w:bCs/>
                <w:sz w:val="28"/>
                <w:szCs w:val="28"/>
              </w:rPr>
              <w:t>ул.Лесная</w:t>
            </w:r>
            <w:r>
              <w:rPr>
                <w:rFonts w:eastAsia="Calibri" w:cs="Calibri" w:ascii="Times New Roman" w:hAnsi="Times New Roman"/>
                <w:b/>
                <w:bCs/>
                <w:sz w:val="28"/>
                <w:szCs w:val="28"/>
              </w:rPr>
              <w:t xml:space="preserve"> д.</w:t>
            </w:r>
            <w:r>
              <w:rPr>
                <w:rFonts w:eastAsia="Calibri" w:cs="Calibri"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</w:tr>
      <w:tr>
        <w:trPr/>
        <w:tc>
          <w:tcPr>
            <w:tcW w:w="11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1" w:type="dxa"/>
            </w:tcMar>
          </w:tcPr>
          <w:p>
            <w:pPr>
              <w:pStyle w:val="Style16"/>
              <w:jc w:val="left"/>
              <w:rPr/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  <w:t>кв.</w:t>
            </w:r>
            <w:r>
              <w:rPr>
                <w:rFonts w:eastAsia="Calibri" w:cs="Calibri" w:ascii="Times New Roman" w:hAnsi="Times New Roman"/>
                <w:sz w:val="28"/>
                <w:szCs w:val="28"/>
              </w:rPr>
              <w:t>6/1</w:t>
            </w:r>
          </w:p>
        </w:tc>
        <w:tc>
          <w:tcPr>
            <w:tcW w:w="20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1" w:type="dxa"/>
            </w:tcMar>
          </w:tcPr>
          <w:p>
            <w:pPr>
              <w:pStyle w:val="Style16"/>
              <w:jc w:val="left"/>
              <w:rPr/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Calibri" w:cs="Calibri" w:ascii="Times New Roman" w:hAnsi="Times New Roman"/>
                <w:sz w:val="28"/>
                <w:szCs w:val="28"/>
              </w:rPr>
              <w:t>24249,31</w:t>
            </w:r>
            <w:r>
              <w:rPr>
                <w:rFonts w:eastAsia="Calibri" w:cs="Calibri"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1" w:type="dxa"/>
            </w:tcMar>
          </w:tcPr>
          <w:p>
            <w:pPr>
              <w:pStyle w:val="Style16"/>
              <w:jc w:val="left"/>
              <w:rPr/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  <w:t>кв.18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1" w:type="dxa"/>
            </w:tcMar>
          </w:tcPr>
          <w:p>
            <w:pPr>
              <w:pStyle w:val="Style16"/>
              <w:jc w:val="left"/>
              <w:rPr/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  <w:t>13642,36 руб.</w:t>
            </w: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1" w:type="dxa"/>
            </w:tcMar>
          </w:tcPr>
          <w:p>
            <w:pPr>
              <w:pStyle w:val="Style16"/>
              <w:jc w:val="left"/>
              <w:rPr>
                <w:rFonts w:ascii="Times New Roman" w:hAnsi="Times New Roman" w:eastAsia="Calibri" w:cs="Calibri"/>
                <w:sz w:val="28"/>
                <w:szCs w:val="28"/>
              </w:rPr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  <w:t>кв.23</w:t>
            </w:r>
          </w:p>
        </w:tc>
        <w:tc>
          <w:tcPr>
            <w:tcW w:w="19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1" w:type="dxa"/>
            </w:tcMar>
          </w:tcPr>
          <w:p>
            <w:pPr>
              <w:pStyle w:val="Style16"/>
              <w:jc w:val="left"/>
              <w:rPr>
                <w:rFonts w:ascii="Times New Roman" w:hAnsi="Times New Roman" w:eastAsia="Calibri" w:cs="Calibri"/>
                <w:sz w:val="28"/>
                <w:szCs w:val="28"/>
              </w:rPr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  <w:t>10594,90 руб.</w:t>
            </w:r>
          </w:p>
        </w:tc>
      </w:tr>
      <w:tr>
        <w:trPr/>
        <w:tc>
          <w:tcPr>
            <w:tcW w:w="11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1" w:type="dxa"/>
            </w:tcMar>
          </w:tcPr>
          <w:p>
            <w:pPr>
              <w:pStyle w:val="Style16"/>
              <w:jc w:val="left"/>
              <w:rPr>
                <w:rFonts w:ascii="Times New Roman" w:hAnsi="Times New Roman" w:eastAsia="Calibri" w:cs="Calibri"/>
                <w:sz w:val="28"/>
                <w:szCs w:val="28"/>
              </w:rPr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  <w:t>кв.38</w:t>
            </w:r>
          </w:p>
        </w:tc>
        <w:tc>
          <w:tcPr>
            <w:tcW w:w="20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1" w:type="dxa"/>
            </w:tcMar>
          </w:tcPr>
          <w:p>
            <w:pPr>
              <w:pStyle w:val="Style16"/>
              <w:jc w:val="left"/>
              <w:rPr>
                <w:rFonts w:ascii="Times New Roman" w:hAnsi="Times New Roman" w:eastAsia="Calibri" w:cs="Calibri"/>
                <w:sz w:val="28"/>
                <w:szCs w:val="28"/>
              </w:rPr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  <w:t>6778,28 руб.</w:t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1" w:type="dxa"/>
            </w:tcMar>
          </w:tcPr>
          <w:p>
            <w:pPr>
              <w:pStyle w:val="Style16"/>
              <w:jc w:val="left"/>
              <w:rPr>
                <w:rFonts w:ascii="Times New Roman" w:hAnsi="Times New Roman" w:eastAsia="Calibri" w:cs="Calibri"/>
                <w:sz w:val="28"/>
                <w:szCs w:val="28"/>
              </w:rPr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  <w:t>кв.63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1" w:type="dxa"/>
            </w:tcMar>
          </w:tcPr>
          <w:p>
            <w:pPr>
              <w:pStyle w:val="Style16"/>
              <w:jc w:val="left"/>
              <w:rPr>
                <w:rFonts w:ascii="Times New Roman" w:hAnsi="Times New Roman" w:eastAsia="Calibri" w:cs="Calibri"/>
                <w:sz w:val="28"/>
                <w:szCs w:val="28"/>
              </w:rPr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  <w:t>76912,05 руб.</w:t>
            </w: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1" w:type="dxa"/>
            </w:tcMar>
          </w:tcPr>
          <w:p>
            <w:pPr>
              <w:pStyle w:val="Style16"/>
              <w:jc w:val="left"/>
              <w:rPr>
                <w:rFonts w:ascii="Times New Roman" w:hAnsi="Times New Roman" w:eastAsia="Calibri" w:cs="Calibri"/>
                <w:sz w:val="28"/>
                <w:szCs w:val="28"/>
              </w:rPr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  <w:t xml:space="preserve">кв.73 </w:t>
            </w:r>
          </w:p>
        </w:tc>
        <w:tc>
          <w:tcPr>
            <w:tcW w:w="19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1" w:type="dxa"/>
            </w:tcMar>
          </w:tcPr>
          <w:p>
            <w:pPr>
              <w:pStyle w:val="Style16"/>
              <w:jc w:val="left"/>
              <w:rPr>
                <w:rFonts w:ascii="Times New Roman" w:hAnsi="Times New Roman" w:eastAsia="Calibri" w:cs="Calibri"/>
                <w:sz w:val="28"/>
                <w:szCs w:val="28"/>
              </w:rPr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  <w:t>16887,87 руб.</w:t>
            </w:r>
          </w:p>
        </w:tc>
      </w:tr>
      <w:tr>
        <w:trPr/>
        <w:tc>
          <w:tcPr>
            <w:tcW w:w="11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1" w:type="dxa"/>
            </w:tcMar>
          </w:tcPr>
          <w:p>
            <w:pPr>
              <w:pStyle w:val="Style16"/>
              <w:jc w:val="left"/>
              <w:rPr>
                <w:rFonts w:ascii="Times New Roman" w:hAnsi="Times New Roman" w:eastAsia="Calibri" w:cs="Calibri"/>
                <w:sz w:val="28"/>
                <w:szCs w:val="28"/>
              </w:rPr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  <w:t>кв.74</w:t>
            </w:r>
          </w:p>
        </w:tc>
        <w:tc>
          <w:tcPr>
            <w:tcW w:w="20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1" w:type="dxa"/>
            </w:tcMar>
          </w:tcPr>
          <w:p>
            <w:pPr>
              <w:pStyle w:val="Style16"/>
              <w:jc w:val="left"/>
              <w:rPr>
                <w:rFonts w:ascii="Times New Roman" w:hAnsi="Times New Roman" w:eastAsia="Calibri" w:cs="Calibri"/>
                <w:sz w:val="28"/>
                <w:szCs w:val="28"/>
              </w:rPr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  <w:t>38952,71 руб.</w:t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1" w:type="dxa"/>
            </w:tcMar>
          </w:tcPr>
          <w:p>
            <w:pPr>
              <w:pStyle w:val="Style16"/>
              <w:jc w:val="left"/>
              <w:rPr>
                <w:rFonts w:ascii="Times New Roman" w:hAnsi="Times New Roman" w:eastAsia="Calibri" w:cs="Calibri"/>
                <w:sz w:val="28"/>
                <w:szCs w:val="28"/>
              </w:rPr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1" w:type="dxa"/>
            </w:tcMar>
          </w:tcPr>
          <w:p>
            <w:pPr>
              <w:pStyle w:val="Style16"/>
              <w:jc w:val="left"/>
              <w:rPr>
                <w:rFonts w:ascii="Times New Roman" w:hAnsi="Times New Roman" w:eastAsia="Calibri" w:cs="Calibri"/>
                <w:sz w:val="28"/>
                <w:szCs w:val="28"/>
              </w:rPr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1" w:type="dxa"/>
            </w:tcMar>
          </w:tcPr>
          <w:p>
            <w:pPr>
              <w:pStyle w:val="Style16"/>
              <w:jc w:val="left"/>
              <w:rPr>
                <w:rFonts w:ascii="Times New Roman" w:hAnsi="Times New Roman" w:eastAsia="Calibri" w:cs="Calibri"/>
                <w:sz w:val="28"/>
                <w:szCs w:val="28"/>
              </w:rPr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</w:r>
          </w:p>
        </w:tc>
        <w:tc>
          <w:tcPr>
            <w:tcW w:w="19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1" w:type="dxa"/>
            </w:tcMar>
          </w:tcPr>
          <w:p>
            <w:pPr>
              <w:pStyle w:val="Style16"/>
              <w:jc w:val="left"/>
              <w:rPr>
                <w:rFonts w:ascii="Times New Roman" w:hAnsi="Times New Roman" w:eastAsia="Calibri" w:cs="Calibri"/>
                <w:sz w:val="28"/>
                <w:szCs w:val="28"/>
              </w:rPr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1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1" w:type="dxa"/>
            </w:tcMar>
          </w:tcPr>
          <w:p>
            <w:pPr>
              <w:pStyle w:val="Style1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0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1" w:type="dxa"/>
            </w:tcMar>
          </w:tcPr>
          <w:p>
            <w:pPr>
              <w:pStyle w:val="Style1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1" w:type="dxa"/>
            </w:tcMar>
          </w:tcPr>
          <w:p>
            <w:pPr>
              <w:pStyle w:val="Style16"/>
              <w:jc w:val="left"/>
              <w:rPr>
                <w:rFonts w:ascii="Times New Roman" w:hAnsi="Times New Roman" w:eastAsia="Calibri" w:cs="Calibri"/>
                <w:sz w:val="28"/>
                <w:szCs w:val="28"/>
              </w:rPr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1" w:type="dxa"/>
            </w:tcMar>
          </w:tcPr>
          <w:p>
            <w:pPr>
              <w:pStyle w:val="Style16"/>
              <w:jc w:val="left"/>
              <w:rPr>
                <w:rFonts w:ascii="Times New Roman" w:hAnsi="Times New Roman" w:eastAsia="Calibri" w:cs="Calibri"/>
                <w:sz w:val="28"/>
                <w:szCs w:val="28"/>
              </w:rPr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</w: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1" w:type="dxa"/>
            </w:tcMar>
          </w:tcPr>
          <w:p>
            <w:pPr>
              <w:pStyle w:val="Style16"/>
              <w:jc w:val="left"/>
              <w:rPr>
                <w:rFonts w:ascii="Times New Roman" w:hAnsi="Times New Roman" w:eastAsia="Calibri" w:cs="Calibri"/>
                <w:sz w:val="28"/>
                <w:szCs w:val="28"/>
              </w:rPr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</w:r>
          </w:p>
        </w:tc>
        <w:tc>
          <w:tcPr>
            <w:tcW w:w="19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1" w:type="dxa"/>
            </w:tcMar>
          </w:tcPr>
          <w:p>
            <w:pPr>
              <w:pStyle w:val="Style16"/>
              <w:jc w:val="left"/>
              <w:rPr>
                <w:rFonts w:ascii="Times New Roman" w:hAnsi="Times New Roman" w:eastAsia="Calibri" w:cs="Calibri"/>
                <w:sz w:val="28"/>
                <w:szCs w:val="28"/>
              </w:rPr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widowControl w:val="false"/>
        <w:spacing w:lineRule="auto" w:line="276" w:before="0" w:after="0"/>
        <w:ind w:left="0" w:right="0" w:hanging="0"/>
        <w:jc w:val="center"/>
        <w:rPr/>
      </w:pPr>
      <w:r>
        <w:rPr/>
      </w:r>
    </w:p>
    <w:p>
      <w:pPr>
        <w:pStyle w:val="Normal"/>
        <w:widowControl w:val="false"/>
        <w:spacing w:lineRule="auto" w:line="276" w:before="0" w:after="0"/>
        <w:ind w:left="0" w:right="0" w:hanging="0"/>
        <w:jc w:val="left"/>
        <w:rPr/>
      </w:pPr>
      <w:r>
        <w:rPr>
          <w:rFonts w:eastAsia="Calibri" w:cs="Calibri"/>
          <w:color w:val="00000A"/>
          <w:spacing w:val="0"/>
          <w:sz w:val="26"/>
          <w:szCs w:val="26"/>
          <w:shd w:fill="FFFFFF" w:val="clear"/>
        </w:rPr>
        <w:t>Напоминаем, что согласно статье 153 Жилищного кодекса РФ и статье 210 Гражданского кодекса РФ оплата должна вноситься полностью и своевременно.</w:t>
      </w:r>
    </w:p>
    <w:p>
      <w:pPr>
        <w:pStyle w:val="Normal"/>
        <w:widowControl w:val="false"/>
        <w:spacing w:lineRule="auto" w:line="276" w:before="0" w:after="0"/>
        <w:ind w:left="0" w:right="0" w:hanging="0"/>
        <w:jc w:val="left"/>
        <w:rPr/>
      </w:pPr>
      <w:r>
        <w:rPr>
          <w:rFonts w:eastAsia="Calibri" w:cs="Calibri"/>
          <w:b/>
          <w:color w:val="00000A"/>
          <w:spacing w:val="0"/>
          <w:sz w:val="26"/>
          <w:szCs w:val="26"/>
          <w:highlight w:val="white"/>
          <w:shd w:fill="FFFFFF" w:val="clear"/>
        </w:rPr>
        <w:t>Если Вам известна какая-нибудь информация о должниках просим сообщить в «Отдел</w:t>
      </w:r>
      <w:r>
        <w:rPr>
          <w:rFonts w:eastAsia="Calibri" w:cs="Calibri"/>
          <w:b/>
          <w:color w:val="00000A"/>
          <w:spacing w:val="0"/>
          <w:sz w:val="32"/>
          <w:szCs w:val="26"/>
          <w:highlight w:val="white"/>
          <w:shd w:fill="FFFFFF" w:val="clear"/>
        </w:rPr>
        <w:t xml:space="preserve"> </w:t>
      </w:r>
      <w:r>
        <w:rPr>
          <w:rFonts w:eastAsia="Calibri" w:cs="Calibri"/>
          <w:b/>
          <w:color w:val="00000A"/>
          <w:spacing w:val="0"/>
          <w:sz w:val="26"/>
          <w:szCs w:val="26"/>
          <w:highlight w:val="white"/>
          <w:shd w:fill="FFFFFF" w:val="clear"/>
        </w:rPr>
        <w:t>взыскания» по тел: 240-60-09  доб.904,  8.30 до 16.30</w:t>
      </w:r>
      <w:r>
        <w:rPr>
          <w:rFonts w:eastAsia="Calibri" w:cs="Calibri"/>
          <w:b/>
          <w:color w:val="00000A"/>
          <w:spacing w:val="0"/>
          <w:sz w:val="26"/>
          <w:szCs w:val="26"/>
          <w:highlight w:val="white"/>
        </w:rPr>
        <w:t xml:space="preserve"> </w:t>
      </w:r>
    </w:p>
    <w:sectPr>
      <w:type w:val="nextPage"/>
      <w:pgSz w:w="12240" w:h="15840"/>
      <w:pgMar w:left="660" w:right="915" w:header="0" w:top="555" w:footer="0" w:bottom="1440" w:gutter="0"/>
      <w:pgNumType w:fmt="decimal"/>
      <w:formProt w:val="false"/>
      <w:textDirection w:val="lrTb"/>
      <w:docGrid w:type="default" w:linePitch="2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Calibri" w:hAnsi="Calibri" w:eastAsia="SimSun" w:cs="Mangal"/>
      <w:color w:val="00000A"/>
      <w:sz w:val="22"/>
      <w:szCs w:val="24"/>
      <w:lang w:val="ru-RU" w:eastAsia="zh-CN" w:bidi="hi-IN"/>
    </w:rPr>
  </w:style>
  <w:style w:type="paragraph" w:styleId="1">
    <w:name w:val="Заголовок 1"/>
    <w:basedOn w:val="Style11"/>
    <w:pPr/>
    <w:rPr/>
  </w:style>
  <w:style w:type="paragraph" w:styleId="2">
    <w:name w:val="Заголовок 2"/>
    <w:basedOn w:val="Style11"/>
    <w:pPr/>
    <w:rPr/>
  </w:style>
  <w:style w:type="paragraph" w:styleId="3">
    <w:name w:val="Заголовок 3"/>
    <w:basedOn w:val="Style11"/>
    <w:pPr/>
    <w:rPr/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yle16">
    <w:name w:val="Содержимое таблицы"/>
    <w:basedOn w:val="Normal"/>
    <w:qFormat/>
    <w:pPr/>
    <w:rPr/>
  </w:style>
  <w:style w:type="paragraph" w:styleId="Style17">
    <w:name w:val="Заголовок таблицы"/>
    <w:basedOn w:val="Style16"/>
    <w:qFormat/>
    <w:pPr/>
    <w:rPr/>
  </w:style>
  <w:style w:type="paragraph" w:styleId="Style18">
    <w:name w:val="Блочная цитата"/>
    <w:basedOn w:val="Normal"/>
    <w:qFormat/>
    <w:pPr/>
    <w:rPr/>
  </w:style>
  <w:style w:type="paragraph" w:styleId="Style19">
    <w:name w:val="Заглавие"/>
    <w:basedOn w:val="Style11"/>
    <w:pPr/>
    <w:rPr/>
  </w:style>
  <w:style w:type="paragraph" w:styleId="Style20">
    <w:name w:val="Подзаголовок"/>
    <w:basedOn w:val="Style11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250</TotalTime>
  <Application>LibreOffice/5.0.2.2$Windows_x86 LibreOffice_project/37b43f919e4de5eeaca9b9755ed688758a8251fe</Application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ru-RU</dc:language>
  <cp:lastPrinted>2018-12-05T10:10:18Z</cp:lastPrinted>
  <dcterms:modified xsi:type="dcterms:W3CDTF">2019-06-04T10:53:59Z</dcterms:modified>
  <cp:revision>92</cp:revision>
</cp:coreProperties>
</file>